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rtl/>
        </w:rPr>
        <w:t>دولـــــة فــــلســــــطين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السلطــــة القضائيـــة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المحكمة العليا /محكمــة النقض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"الحكـــــــم"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الصادر عن المحكمة العليا /محكمة النقض المنعقدة في رام الله المأذونة بإجراء المحاكمة وإصداره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بإسم الشعب العربي الفلسطيني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الهـيئـــــــــة الحـاكـمـــة بـرئاســــ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ـــــة القاضـــــي الســــــــــيد عبد الله غزلان  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وعضوية القضاة السادة : عدنان الشعيبي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، محمد الحاج ياسين ،عبد الكريم حنون ، فواز عطية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الطــاعــنان :</w:t>
      </w:r>
    </w:p>
    <w:p w:rsidR="00000000" w:rsidRDefault="00204CD3" w:rsidP="00DC37E7">
      <w:pPr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المحامي اسامة عبد الله محمد زيد لكيلاني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رام الله بصفته الشخصية </w:t>
      </w:r>
    </w:p>
    <w:p w:rsidR="00000000" w:rsidRDefault="00204CD3" w:rsidP="00DC37E7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>عزت احمد محمود موسى ( الرامين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ي )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وكيله المحامي اسامة الكيلاني ( الطاعن الاول ) رام الله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جنين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المطعـــون عليه </w:t>
      </w:r>
      <w:r>
        <w:rPr>
          <w:rFonts w:ascii="Times New Roman" w:hAnsi="Times New Roman" w:cs="Times New Roman"/>
          <w:sz w:val="32"/>
          <w:szCs w:val="32"/>
          <w:rtl/>
        </w:rPr>
        <w:t xml:space="preserve">: عيسى عبد الكريم ابراهيم ابو شرار / رام الله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JO"/>
        </w:rPr>
        <w:t>الإجـــــــــــــــــــــراءات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قدم الطاعنان هذا الطعن بتاريخ 26/12/2021 لنقض الق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رار الصادر عن محكمة استئناف القدس في جلسة 27/9/2021 في الاستئناف المدني رقم 1064/2021 القاضي برفض طلب الطاعن الاول ووكيل الطاعن الثاني بتقديم البينات والذي جاء " بالتدقيق في لائحة الاستئناف تجد المحكمة ان وكيل الجهة المستانفة لم يتمسك بطلبه في تقديم بينات 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امام محكمتنا لذلك تقرر المحكمة عدم اجابة طلبه "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يستند الطعن وعلى النحو الذي صيغ به للاسباب التالية:</w:t>
      </w:r>
    </w:p>
    <w:p w:rsidR="00000000" w:rsidRDefault="00204CD3" w:rsidP="00DC37E7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الطعن مقدم ضمن المدة القانونية ويلتمس الطاعن قبوله شكلاً .</w:t>
      </w:r>
    </w:p>
    <w:p w:rsidR="00000000" w:rsidRDefault="00204CD3" w:rsidP="00DC37E7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lastRenderedPageBreak/>
        <w:t>القرار المطعون فيه مخالف للاصول والقانون حيث ان محكمة الدرجة الثانية بمنعها للطاعنين من ت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>قديم بيناتها تكون خالفت احكام المادة ( 220 ) من قانون اصول المحاكمات المدنية والتجارية .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التمس الطاعنان قبول الطعن ونقض القرار المطعون فيه و / او اتخاذ المقتضى القانوني .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قدم وكيل المطعون ضده لائحة جوابية تلخص ما جاء فيها ان القرار المطعون فيه هو قرار تمهي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>دي لا يقبل الطعن فيه استقلالاً وليس من القرارات القابلة للطعن استناداً للمادة 193 من قانون اصول المحاكمات المدنية والتجارية .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التمس المطعون ضده رد الطعن شكلاً و / او عدم قبوله مع تضمن الطاعنان الرسوم والمصاريف واتعاب المحاماة واعمال المادة 221 فقرة 3 من قا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>نون اصول المحاكمات والحكم عليهما بالتعويضات لكيدية الطعن .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ind w:left="23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JO"/>
        </w:rPr>
        <w:t>المحكمـــــــــــــــــــــة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بعد التدقيق و المداولة،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وبمعزل عن اسباب الطعن تلك التي ساقها الطعنان وحملا طعنهما عليها فانه وعلى ما أنبأت عنه الاوراق ان القرار المطعون فيه صادر عن محكمة الاستئناف اث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ناء اجراءات المحاكمة لديها، اذ بالرجوع الى ضبط جلسات المحاكمة لديها وبالخصوص الجلسة الصادر بها القرار محل الطعن المنعقدة بتاريخ 27/9/2021 فقد تقرر بها ً(عدم اجابة طلب الطاعن الاول ولما كان القرار المطعون فيه لا يشكل حكماً ولا يعدو ان يكون قراراً تمهيدياً ف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أنه وعلى ما افصحت عنه احكام المواد 192 و225 و 226 من قانون اصول المحاكمات المدنية والتجارية رقم 2 لسنة 2001 ان قراراً كهذا لا يقبل الطعن المباشر استقلالاً بمعزل عن الحكم الفصل في موضوع الدعوى 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لهذه الاسباب 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>تقرر المحكمة عدم قبول الطعن والحكم على الجهة ال</w:t>
      </w:r>
      <w:r>
        <w:rPr>
          <w:rFonts w:ascii="Times New Roman" w:hAnsi="Times New Roman" w:cs="Times New Roman"/>
          <w:sz w:val="32"/>
          <w:szCs w:val="32"/>
          <w:rtl/>
          <w:lang w:bidi="ar-JO"/>
        </w:rPr>
        <w:t>طاعنة بمبلغ 200 دينا راتعاب محاماة.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  <w:t>حكما صدر تدقيقا باسم الشعب العربي الفلسطيني بتاريخ 3/1/2022</w:t>
      </w: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00000" w:rsidRDefault="002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JO"/>
        </w:rPr>
      </w:pPr>
    </w:p>
    <w:p w:rsidR="00000000" w:rsidRDefault="00204CD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204CD3" w:rsidRDefault="00204CD3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30"/>
          <w:szCs w:val="30"/>
          <w:rtl/>
          <w:lang w:bidi="ar-JO"/>
        </w:rPr>
      </w:pPr>
    </w:p>
    <w:sectPr w:rsidR="00204C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6360"/>
    <w:multiLevelType w:val="singleLevel"/>
    <w:tmpl w:val="43A6AD18"/>
    <w:lvl w:ilvl="0">
      <w:start w:val="1"/>
      <w:numFmt w:val="decimal"/>
      <w:lvlText w:val="%1."/>
      <w:legacy w:legacy="1" w:legacySpace="0" w:legacyIndent="0"/>
      <w:lvlJc w:val="right"/>
      <w:rPr>
        <w:rFonts w:ascii="Times New Roman" w:hAnsi="Times New Roman" w:cs="Times New Roman" w:hint="default"/>
      </w:rPr>
    </w:lvl>
  </w:abstractNum>
  <w:abstractNum w:abstractNumId="1" w15:restartNumberingAfterBreak="0">
    <w:nsid w:val="7DE50D43"/>
    <w:multiLevelType w:val="singleLevel"/>
    <w:tmpl w:val="7AD8532A"/>
    <w:lvl w:ilvl="0">
      <w:start w:val="1"/>
      <w:numFmt w:val="decimal"/>
      <w:lvlText w:val="%1."/>
      <w:legacy w:legacy="1" w:legacySpace="0" w:legacyIndent="0"/>
      <w:lvlJc w:val="righ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righ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righ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E7"/>
    <w:rsid w:val="00204CD3"/>
    <w:rsid w:val="00D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323527-604A-497F-AED1-67988E4B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HP-LAW</dc:creator>
  <cp:keywords/>
  <dc:description/>
  <cp:lastModifiedBy>HP-LAW</cp:lastModifiedBy>
  <cp:revision>2</cp:revision>
  <dcterms:created xsi:type="dcterms:W3CDTF">2023-02-14T07:19:00Z</dcterms:created>
  <dcterms:modified xsi:type="dcterms:W3CDTF">2023-02-14T07:19:00Z</dcterms:modified>
</cp:coreProperties>
</file>